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47" w:rsidRPr="006F4F47" w:rsidRDefault="006F4F47" w:rsidP="006F4F47">
      <w:pPr>
        <w:spacing w:after="0" w:line="240" w:lineRule="auto"/>
        <w:rPr>
          <w:rFonts w:ascii="Times New Roman" w:eastAsia="Times New Roman" w:hAnsi="Times New Roman" w:cs="Times New Roman"/>
          <w:sz w:val="24"/>
          <w:szCs w:val="24"/>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2854"/>
        <w:gridCol w:w="6722"/>
      </w:tblGrid>
      <w:tr w:rsidR="006F4F47" w:rsidRPr="006F4F47" w:rsidTr="006F4F47">
        <w:trPr>
          <w:jc w:val="center"/>
        </w:trPr>
        <w:tc>
          <w:tcPr>
            <w:tcW w:w="3384" w:type="dxa"/>
            <w:tcBorders>
              <w:top w:val="nil"/>
              <w:left w:val="nil"/>
              <w:bottom w:val="nil"/>
              <w:right w:val="nil"/>
            </w:tcBorders>
            <w:tcMar>
              <w:top w:w="0" w:type="dxa"/>
              <w:left w:w="108" w:type="dxa"/>
              <w:bottom w:w="0" w:type="dxa"/>
              <w:right w:w="108" w:type="dxa"/>
            </w:tcMar>
            <w:hideMark/>
          </w:tcPr>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b/>
                <w:bCs/>
                <w:sz w:val="24"/>
                <w:szCs w:val="24"/>
              </w:rPr>
              <w:t>CHÍNH PHỦ</w:t>
            </w:r>
          </w:p>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sz w:val="24"/>
                <w:szCs w:val="24"/>
                <w:vertAlign w:val="superscript"/>
              </w:rPr>
              <w:t>__________</w:t>
            </w:r>
          </w:p>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sz w:val="24"/>
                <w:szCs w:val="24"/>
              </w:rPr>
              <w:t>Số: </w:t>
            </w:r>
            <w:r w:rsidRPr="006F4F47">
              <w:rPr>
                <w:rFonts w:ascii="Arial" w:eastAsia="Times New Roman" w:hAnsi="Arial" w:cs="Arial"/>
                <w:b/>
                <w:bCs/>
                <w:sz w:val="24"/>
                <w:szCs w:val="24"/>
              </w:rPr>
              <w:t>05</w:t>
            </w:r>
            <w:r w:rsidRPr="006F4F47">
              <w:rPr>
                <w:rFonts w:ascii="Arial" w:eastAsia="Times New Roman" w:hAnsi="Arial" w:cs="Arial"/>
                <w:sz w:val="24"/>
                <w:szCs w:val="24"/>
              </w:rPr>
              <w:t>/2013/NĐ-CP</w:t>
            </w:r>
          </w:p>
        </w:tc>
        <w:tc>
          <w:tcPr>
            <w:tcW w:w="8169" w:type="dxa"/>
            <w:tcBorders>
              <w:top w:val="nil"/>
              <w:left w:val="nil"/>
              <w:bottom w:val="nil"/>
              <w:right w:val="nil"/>
            </w:tcBorders>
            <w:tcMar>
              <w:top w:w="0" w:type="dxa"/>
              <w:left w:w="108" w:type="dxa"/>
              <w:bottom w:w="0" w:type="dxa"/>
              <w:right w:w="108" w:type="dxa"/>
            </w:tcMar>
            <w:hideMark/>
          </w:tcPr>
          <w:p w:rsidR="006F4F47" w:rsidRPr="006F4F47" w:rsidRDefault="006F4F47" w:rsidP="006F4F47">
            <w:pPr>
              <w:spacing w:before="90" w:after="90" w:line="240" w:lineRule="auto"/>
              <w:jc w:val="center"/>
              <w:outlineLvl w:val="8"/>
              <w:rPr>
                <w:rFonts w:ascii="Arial" w:eastAsia="Times New Roman" w:hAnsi="Arial" w:cs="Arial"/>
                <w:sz w:val="24"/>
                <w:szCs w:val="24"/>
              </w:rPr>
            </w:pPr>
            <w:r w:rsidRPr="006F4F47">
              <w:rPr>
                <w:rFonts w:ascii="Arial" w:eastAsia="Times New Roman" w:hAnsi="Arial" w:cs="Arial"/>
                <w:b/>
                <w:bCs/>
                <w:sz w:val="24"/>
                <w:szCs w:val="24"/>
              </w:rPr>
              <w:t>CỘNG HOÀ XÃ HỘI CHỦ NGHĨA VIỆT NAM</w:t>
            </w:r>
          </w:p>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b/>
                <w:bCs/>
                <w:sz w:val="24"/>
                <w:szCs w:val="24"/>
              </w:rPr>
              <w:t>Độc lập - Tự do - Hạnh phúc</w:t>
            </w:r>
          </w:p>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b/>
                <w:bCs/>
                <w:sz w:val="24"/>
                <w:szCs w:val="24"/>
                <w:vertAlign w:val="superscript"/>
              </w:rPr>
              <w:t>  ______________________________________________</w:t>
            </w:r>
          </w:p>
          <w:p w:rsidR="006F4F47" w:rsidRPr="006F4F47" w:rsidRDefault="006F4F47" w:rsidP="006F4F47">
            <w:pPr>
              <w:spacing w:before="90" w:after="90" w:line="240" w:lineRule="auto"/>
              <w:jc w:val="center"/>
              <w:rPr>
                <w:rFonts w:ascii="Arial" w:eastAsia="Times New Roman" w:hAnsi="Arial" w:cs="Arial"/>
                <w:sz w:val="24"/>
                <w:szCs w:val="24"/>
              </w:rPr>
            </w:pPr>
            <w:r w:rsidRPr="006F4F47">
              <w:rPr>
                <w:rFonts w:ascii="Arial" w:eastAsia="Times New Roman" w:hAnsi="Arial" w:cs="Arial"/>
                <w:i/>
                <w:iCs/>
                <w:sz w:val="24"/>
                <w:szCs w:val="24"/>
              </w:rPr>
              <w:t>Hà Nội, ngày 09 tháng 01 năm 2013</w:t>
            </w:r>
          </w:p>
        </w:tc>
      </w:tr>
    </w:tbl>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b/>
          <w:bCs/>
          <w:color w:val="000000"/>
          <w:sz w:val="24"/>
          <w:szCs w:val="24"/>
        </w:rPr>
        <w:t> </w:t>
      </w:r>
    </w:p>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b/>
          <w:bCs/>
          <w:color w:val="000000"/>
          <w:sz w:val="24"/>
          <w:szCs w:val="24"/>
        </w:rPr>
        <w:t>NGHỊ ĐỊNH</w:t>
      </w:r>
    </w:p>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b/>
          <w:bCs/>
          <w:color w:val="000000"/>
          <w:sz w:val="24"/>
          <w:szCs w:val="24"/>
          <w:lang w:val="en-GB"/>
        </w:rPr>
        <w:t>Sửa đổi, bổ sung một số điều quy định về thủ tục hành chính của</w:t>
      </w:r>
    </w:p>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b/>
          <w:bCs/>
          <w:color w:val="000000"/>
          <w:sz w:val="24"/>
          <w:szCs w:val="24"/>
          <w:lang w:val="en-GB"/>
        </w:rPr>
        <w:t>Nghị định số 43/2010/NĐ-CP ngày 15 tháng 4 năm 2010 của Chính phủ về đăng ký doanh nghiệp</w:t>
      </w:r>
    </w:p>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b/>
          <w:bCs/>
          <w:color w:val="000000"/>
          <w:sz w:val="24"/>
          <w:szCs w:val="24"/>
          <w:vertAlign w:val="superscript"/>
          <w:lang w:val="en-GB"/>
        </w:rPr>
        <w:t>_________</w:t>
      </w:r>
    </w:p>
    <w:p w:rsidR="006F4F47" w:rsidRPr="006F4F47" w:rsidRDefault="006F4F47" w:rsidP="006F4F47">
      <w:pPr>
        <w:spacing w:before="90" w:after="90" w:line="240" w:lineRule="auto"/>
        <w:jc w:val="center"/>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Căn cứ Luật tổ chức Chính phủ ngày 25 tháng 12 năm 2001;</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Căn cứ Luật doanh nghiệp ngày 29 tháng 11 năm 2005;</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Căn cứ Nghị quyết số 25/NQ-CP ngày 02 tháng 6 năm 2010 của Chính phủ về việc đơn giản hóa 258 thủ tục hành chính thuộc phạm vi chức năng quản lý của Bộ, ngành;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Căn cứ Nghị quyết số 70/NQ-CP ngày 27 tháng 12 năm 2010 của Chính phủ về việc đơn giản hóa thủ tục hành chính thuộc phạm vi chức năng quản lý của Bộ Kế hoạch và Đầu tư;</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Theo đề nghị của Bộ trưởng Bộ Kế hoạch và Đầu tư,</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i/>
          <w:iCs/>
          <w:color w:val="000000"/>
          <w:sz w:val="24"/>
          <w:szCs w:val="24"/>
          <w:lang w:val="en-GB"/>
        </w:rPr>
        <w:t>Chính phủ ban hành Nghị định sửa đổi, bổ sung một số điều quy định về thủ tục hành chính của Nghị định số 43/2010/NĐ-CP ngày 15 tháng 4 năm 2010 của Chính phủ về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b/>
          <w:bCs/>
          <w:color w:val="000000"/>
          <w:sz w:val="24"/>
          <w:szCs w:val="24"/>
          <w:lang w:val="en-GB"/>
        </w:rPr>
        <w:t>Điều 1.</w:t>
      </w:r>
      <w:proofErr w:type="gramEnd"/>
      <w:r w:rsidRPr="006F4F47">
        <w:rPr>
          <w:rFonts w:ascii="Arial" w:eastAsia="Times New Roman" w:hAnsi="Arial" w:cs="Arial"/>
          <w:b/>
          <w:bCs/>
          <w:color w:val="000000"/>
          <w:sz w:val="24"/>
          <w:szCs w:val="24"/>
          <w:lang w:val="en-GB"/>
        </w:rPr>
        <w:t xml:space="preserve"> Sửa đổi, bổ sung một số điều của Nghị định số 43/2010/NĐ-CP ngày 15 tháng 4 năm 2010 về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Sửa đổi Khoản 4 Điều 7 như sau:</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“4. </w:t>
      </w:r>
      <w:r w:rsidRPr="006F4F47">
        <w:rPr>
          <w:rFonts w:ascii="Arial" w:eastAsia="Times New Roman" w:hAnsi="Arial" w:cs="Arial"/>
          <w:color w:val="000000"/>
          <w:sz w:val="24"/>
          <w:szCs w:val="24"/>
          <w:lang w:val="pt-BR"/>
        </w:rPr>
        <w:t>Đối với những ngành, nghề kinh doanh không có trong Hệ thống ngành kinh tế Việt Nam và chưa được quy định tại các văn bản quy phạm pháp luật khác thì cơ quan đăng ký kinh doanh xem xét ghi ngành, nghề kinh doanh này vào Giấy chứng nhận đăng ký doanh nghiệp nếu không thuộc ngành, nghề cấm kinh doanh, đồng thời thông báo cho Bộ Kế hoạch và Đầu tư (Tổng cục Thống kê) để bổ sung mã mới.</w:t>
      </w:r>
      <w:r w:rsidRPr="006F4F47">
        <w:rPr>
          <w:rFonts w:ascii="Arial" w:eastAsia="Times New Roman" w:hAnsi="Arial" w:cs="Arial"/>
          <w:color w:val="000000"/>
          <w:sz w:val="24"/>
          <w:szCs w:val="24"/>
          <w:lang w:val="en-GB"/>
        </w:rPr>
        <w:t>”</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2. Bổ sung các Điều 8a, 8b, 8c sau Điều 8 như sau:</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w:t>
      </w:r>
      <w:r w:rsidRPr="006F4F47">
        <w:rPr>
          <w:rFonts w:ascii="Arial" w:eastAsia="Times New Roman" w:hAnsi="Arial" w:cs="Arial"/>
          <w:b/>
          <w:bCs/>
          <w:color w:val="000000"/>
          <w:sz w:val="24"/>
          <w:szCs w:val="24"/>
          <w:lang w:val="en-GB"/>
        </w:rPr>
        <w:t>Điều 8a.</w:t>
      </w:r>
      <w:proofErr w:type="gramEnd"/>
      <w:r w:rsidRPr="006F4F47">
        <w:rPr>
          <w:rFonts w:ascii="Arial" w:eastAsia="Times New Roman" w:hAnsi="Arial" w:cs="Arial"/>
          <w:b/>
          <w:bCs/>
          <w:color w:val="000000"/>
          <w:sz w:val="24"/>
          <w:szCs w:val="24"/>
          <w:lang w:val="en-GB"/>
        </w:rPr>
        <w:t xml:space="preserve"> Số lượng hồ sơ đăng ký doanh nghiệp, hộ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Doanh nghiệp nộp 01 bộ hồ sơ tại Phòng Đăng ký kinh doanh cấp tỉnh khi thực hiện đăng ký doanh nghiệp, đăng ký hoạt động chi nhánh, văn phòng đại diện, thông báo lập địa điểm kinh doanh hoặc đăng ký thay đổi nội dung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lastRenderedPageBreak/>
        <w:t>2. Hộ kinh doanh nộp 01 bộ hồ sơ tại cơ quan đăng ký kinh doanh cấp huyện khi đăng ký thành lập hộ kinh doanh hoặc đăng ký thay đổi nội dung đã đăng ký.</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b/>
          <w:bCs/>
          <w:color w:val="000000"/>
          <w:sz w:val="24"/>
          <w:szCs w:val="24"/>
          <w:lang w:val="en-GB"/>
        </w:rPr>
        <w:t>Điều 8b.</w:t>
      </w:r>
      <w:proofErr w:type="gramEnd"/>
      <w:r w:rsidRPr="006F4F47">
        <w:rPr>
          <w:rFonts w:ascii="Arial" w:eastAsia="Times New Roman" w:hAnsi="Arial" w:cs="Arial"/>
          <w:b/>
          <w:bCs/>
          <w:color w:val="000000"/>
          <w:sz w:val="24"/>
          <w:szCs w:val="24"/>
          <w:lang w:val="en-GB"/>
        </w:rPr>
        <w:t xml:space="preserve"> Bản sao hợp lệ các giấy tờ trong hồ sơ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w:t>
      </w:r>
      <w:r w:rsidRPr="006F4F47">
        <w:rPr>
          <w:rFonts w:ascii="Arial" w:eastAsia="Times New Roman" w:hAnsi="Arial" w:cs="Arial"/>
          <w:color w:val="000000"/>
          <w:sz w:val="24"/>
          <w:szCs w:val="24"/>
          <w:lang w:val="pt-BR"/>
        </w:rPr>
        <w:t>Bản sao hợp lệ các giấy tờ trong hồ sơ đăng ký doanh nghiệp là các giấy tờ đã được chứng thực hoặc được sao y bản chính bởi cơ quan, tổ chức có thẩm quyền</w:t>
      </w:r>
      <w:r w:rsidRPr="006F4F47">
        <w:rPr>
          <w:rFonts w:ascii="Arial" w:eastAsia="Times New Roman" w:hAnsi="Arial" w:cs="Arial"/>
          <w:color w:val="000000"/>
          <w:sz w:val="24"/>
          <w:szCs w:val="24"/>
          <w:lang w:val="en-GB"/>
        </w:rPr>
        <w:t>.</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2. Đối với hồ sơ đăng ký phải có hợp đồng chuyển nhượng, giấy tờ xác nhận việc tặng cho phần vốn góp, doanh nghiệp có thể gửi bản gốc hoặc bản sao hợp lệ.</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b/>
          <w:bCs/>
          <w:color w:val="000000"/>
          <w:sz w:val="24"/>
          <w:szCs w:val="24"/>
          <w:lang w:val="en-GB"/>
        </w:rPr>
        <w:t>Điều 8c.</w:t>
      </w:r>
      <w:proofErr w:type="gramEnd"/>
      <w:r w:rsidRPr="006F4F47">
        <w:rPr>
          <w:rFonts w:ascii="Arial" w:eastAsia="Times New Roman" w:hAnsi="Arial" w:cs="Arial"/>
          <w:b/>
          <w:bCs/>
          <w:color w:val="000000"/>
          <w:sz w:val="24"/>
          <w:szCs w:val="24"/>
          <w:lang w:val="en-GB"/>
        </w:rPr>
        <w:t xml:space="preserve"> Công bố nội dung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Trong thời hạn 30 ngày, kể từ ngày thành lập hoặc đăng ký thay đổi nội dung đăng ký doanh nghiệp, doanh nghiệp phải đăng nội dung đăng ký doanh nghiệp trên Cổng Thông tin đăng ký doanh nghiệp quốc gia theo quy định tại Điều 28 Luật doanh nghiệp và trả phí công bố nội dung đăng ký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Bộ Tài chính chủ trì, phối hợp với Bộ Kế hoạch và Đầu tư ban hành quy định về mức phí công bố nội dung đăng ký doanh nghiệp.</w:t>
      </w:r>
      <w:proofErr w:type="gramEnd"/>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2. Công ty cổ phần phát hành thêm cổ phần phổ thông và chào bán số cổ phần đó cho tất cả cổ đông phổ thông theo tỷ lệ cổ phần hiện có của họ tại công ty phải gửi văn bản thông báo việc phát hành thêm cổ phần phổ thông đến địa chỉ thường trú của các cổ đông theo hình thức gửi bảo đảm.</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Thông báo này phải được đăng trên Cổng Thông tin đăng ký doanh nghiệp quốc gia hoặc đăng báo trong ba số liên tiếp trong thời hạn 10 ngày làm việc, kể từ ngày thông báo.</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3. Trong thời hạn 07 ngày làm việc kể từ ngày thông qua quyết định giải thể doanh nghiệp theo quy định tại Khoản 1 Điều 158 Luật doanh nghiệp, doanh nghiệp phải sao gửi quyết định giải thể đến cơ quan đăng ký kinh doanh, tất cả các chủ nợ, người có quyền, nghĩa vụ và lợi ích liên quan, người lao động trong doanh nghiệp.</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Doanh nghiệp phải niêm yết công khai quyết định giải thể doanh nghiệp tại trụ sở chính và chi nhánh của doanh nghiệp và đăng quyết định này trên Cổng Thông tin đăng ký doanh nghiệp quốc gia.”</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3. Sửa đổi, bổ sung Điều 57 như sau:</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w:t>
      </w:r>
      <w:r w:rsidRPr="006F4F47">
        <w:rPr>
          <w:rFonts w:ascii="Arial" w:eastAsia="Times New Roman" w:hAnsi="Arial" w:cs="Arial"/>
          <w:b/>
          <w:bCs/>
          <w:color w:val="000000"/>
          <w:sz w:val="24"/>
          <w:szCs w:val="24"/>
          <w:lang w:val="en-GB"/>
        </w:rPr>
        <w:t>Điều 57.</w:t>
      </w:r>
      <w:proofErr w:type="gramEnd"/>
      <w:r w:rsidRPr="006F4F47">
        <w:rPr>
          <w:rFonts w:ascii="Arial" w:eastAsia="Times New Roman" w:hAnsi="Arial" w:cs="Arial"/>
          <w:b/>
          <w:bCs/>
          <w:color w:val="000000"/>
          <w:sz w:val="24"/>
          <w:szCs w:val="24"/>
          <w:lang w:val="en-GB"/>
        </w:rPr>
        <w:t xml:space="preserve"> Tạm ngừng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Doanh nghiệp, hộ kinh doanh tạm ngừng kinh doanh phải thông báo bằng văn bản cho cơ quan đăng ký kinh doanh nơi doanh nghiệp, hộ kinh doanh đã đăng ký và cơ quan thuế ít nhất 15 ngày trước khi tạm ngừng kinh doanh.</w:t>
      </w:r>
      <w:proofErr w:type="gramEnd"/>
      <w:r w:rsidRPr="006F4F47">
        <w:rPr>
          <w:rFonts w:ascii="Arial" w:eastAsia="Times New Roman" w:hAnsi="Arial" w:cs="Arial"/>
          <w:color w:val="000000"/>
          <w:sz w:val="24"/>
          <w:szCs w:val="24"/>
          <w:lang w:val="en-GB"/>
        </w:rPr>
        <w:t xml:space="preserve"> Nội dung thông báo gồm:</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Tên, địa chỉ trụ sở chính, mã số doanh nghiệp và ngày cấp Giấy chứng nhận đăng ký doanh nghiệp hoặc giấy tờ tương đương khác đối với doanh nghiệp; Giấy chứng nhận đăng ký hộ kinh doanh đối với hộ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2. Ngành, nghề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xml:space="preserve">3. Thời hạn tạm ngừng kinh doanh, ngày bắt đầu và ngày kết thúc thời hạn tạm ngừng. </w:t>
      </w:r>
      <w:proofErr w:type="gramStart"/>
      <w:r w:rsidRPr="006F4F47">
        <w:rPr>
          <w:rFonts w:ascii="Arial" w:eastAsia="Times New Roman" w:hAnsi="Arial" w:cs="Arial"/>
          <w:color w:val="000000"/>
          <w:sz w:val="24"/>
          <w:szCs w:val="24"/>
          <w:lang w:val="en-GB"/>
        </w:rPr>
        <w:t>Thời hạn tạm ngừng kinh doanh ghi trong thông báo không được quá một năm.</w:t>
      </w:r>
      <w:proofErr w:type="gramEnd"/>
      <w:r w:rsidRPr="006F4F47">
        <w:rPr>
          <w:rFonts w:ascii="Arial" w:eastAsia="Times New Roman" w:hAnsi="Arial" w:cs="Arial"/>
          <w:color w:val="000000"/>
          <w:sz w:val="24"/>
          <w:szCs w:val="24"/>
          <w:lang w:val="en-GB"/>
        </w:rPr>
        <w:t xml:space="preserve"> </w:t>
      </w:r>
      <w:proofErr w:type="gramStart"/>
      <w:r w:rsidRPr="006F4F47">
        <w:rPr>
          <w:rFonts w:ascii="Arial" w:eastAsia="Times New Roman" w:hAnsi="Arial" w:cs="Arial"/>
          <w:color w:val="000000"/>
          <w:sz w:val="24"/>
          <w:szCs w:val="24"/>
          <w:lang w:val="en-GB"/>
        </w:rPr>
        <w:t xml:space="preserve">Sau khi hết thời hạn tạm ngừng kinh doanh đã thông báo, nếu doanh nghiệp, hộ kinh doanh </w:t>
      </w:r>
      <w:r w:rsidRPr="006F4F47">
        <w:rPr>
          <w:rFonts w:ascii="Arial" w:eastAsia="Times New Roman" w:hAnsi="Arial" w:cs="Arial"/>
          <w:color w:val="000000"/>
          <w:sz w:val="24"/>
          <w:szCs w:val="24"/>
          <w:lang w:val="en-GB"/>
        </w:rPr>
        <w:lastRenderedPageBreak/>
        <w:t>vẫn tiếp tục tạm ngừng kinh doanh thì phải thông báo tiếp cho cơ quan đăng ký kinh doanh.</w:t>
      </w:r>
      <w:proofErr w:type="gramEnd"/>
      <w:r w:rsidRPr="006F4F47">
        <w:rPr>
          <w:rFonts w:ascii="Arial" w:eastAsia="Times New Roman" w:hAnsi="Arial" w:cs="Arial"/>
          <w:color w:val="000000"/>
          <w:sz w:val="24"/>
          <w:szCs w:val="24"/>
          <w:lang w:val="en-GB"/>
        </w:rPr>
        <w:t xml:space="preserve"> </w:t>
      </w:r>
      <w:proofErr w:type="gramStart"/>
      <w:r w:rsidRPr="006F4F47">
        <w:rPr>
          <w:rFonts w:ascii="Arial" w:eastAsia="Times New Roman" w:hAnsi="Arial" w:cs="Arial"/>
          <w:color w:val="000000"/>
          <w:sz w:val="24"/>
          <w:szCs w:val="24"/>
          <w:lang w:val="en-GB"/>
        </w:rPr>
        <w:t>Tổng thời gian tạm ngừng kinh doanh liên tiếp không được quá hai năm.</w:t>
      </w:r>
      <w:proofErr w:type="gramEnd"/>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xml:space="preserve">4. Lý </w:t>
      </w:r>
      <w:proofErr w:type="gramStart"/>
      <w:r w:rsidRPr="006F4F47">
        <w:rPr>
          <w:rFonts w:ascii="Arial" w:eastAsia="Times New Roman" w:hAnsi="Arial" w:cs="Arial"/>
          <w:color w:val="000000"/>
          <w:sz w:val="24"/>
          <w:szCs w:val="24"/>
          <w:lang w:val="en-GB"/>
        </w:rPr>
        <w:t>do</w:t>
      </w:r>
      <w:proofErr w:type="gramEnd"/>
      <w:r w:rsidRPr="006F4F47">
        <w:rPr>
          <w:rFonts w:ascii="Arial" w:eastAsia="Times New Roman" w:hAnsi="Arial" w:cs="Arial"/>
          <w:color w:val="000000"/>
          <w:sz w:val="24"/>
          <w:szCs w:val="24"/>
          <w:lang w:val="en-GB"/>
        </w:rPr>
        <w:t xml:space="preserve"> tạm ngừng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xml:space="preserve">5. Họ, tên, chữ ký của người đại diện </w:t>
      </w:r>
      <w:proofErr w:type="gramStart"/>
      <w:r w:rsidRPr="006F4F47">
        <w:rPr>
          <w:rFonts w:ascii="Arial" w:eastAsia="Times New Roman" w:hAnsi="Arial" w:cs="Arial"/>
          <w:color w:val="000000"/>
          <w:sz w:val="24"/>
          <w:szCs w:val="24"/>
          <w:lang w:val="en-GB"/>
        </w:rPr>
        <w:t>theo</w:t>
      </w:r>
      <w:proofErr w:type="gramEnd"/>
      <w:r w:rsidRPr="006F4F47">
        <w:rPr>
          <w:rFonts w:ascii="Arial" w:eastAsia="Times New Roman" w:hAnsi="Arial" w:cs="Arial"/>
          <w:color w:val="000000"/>
          <w:sz w:val="24"/>
          <w:szCs w:val="24"/>
          <w:lang w:val="en-GB"/>
        </w:rPr>
        <w:t xml:space="preserve"> pháp luật của doanh nghiệp hoặc của đại diện hộ kinh doanh.</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Kèm theo thông báo phải có quyết định và biên bản họp của Hội đồng thành viên đối với công ty trách nhiệm hữu hạn hai thành viên trở lên, của chủ sở hữu công ty đối với công ty trách nhiệm hữu hạn một thành viên, của Đại hội đồng cổ đông đối với công ty cổ phần, của các thành viên hợp danh đối với công ty hợp danh.</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Cơ quan đăng ký kinh doanh trao Giấy biên nhận hồ sơ cho người nộp hồ sơ sau khi tiếp nhận thông báo tạm ngừng kinh doanh của doanh nghiệp, hộ kinh doanh.</w:t>
      </w:r>
      <w:proofErr w:type="gramEnd"/>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xml:space="preserve">Trong thời hạn 05 ngày làm việc, kể từ ngày nhận được hồ sơ hợp lệ, cơ quan đăng ký kinh doanh cấp Giấy xác nhận về việc doanh nghiệp, hộ kinh doanh đã đăng ký tạm ngừng hoạt động </w:t>
      </w:r>
      <w:proofErr w:type="gramStart"/>
      <w:r w:rsidRPr="006F4F47">
        <w:rPr>
          <w:rFonts w:ascii="Arial" w:eastAsia="Times New Roman" w:hAnsi="Arial" w:cs="Arial"/>
          <w:color w:val="000000"/>
          <w:sz w:val="24"/>
          <w:szCs w:val="24"/>
          <w:lang w:val="en-GB"/>
        </w:rPr>
        <w:t>theo</w:t>
      </w:r>
      <w:proofErr w:type="gramEnd"/>
      <w:r w:rsidRPr="006F4F47">
        <w:rPr>
          <w:rFonts w:ascii="Arial" w:eastAsia="Times New Roman" w:hAnsi="Arial" w:cs="Arial"/>
          <w:color w:val="000000"/>
          <w:sz w:val="24"/>
          <w:szCs w:val="24"/>
          <w:lang w:val="en-GB"/>
        </w:rPr>
        <w:t xml:space="preserve"> mẫu do Bộ Kế hoạch và Đầu tư quy định.”</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b/>
          <w:bCs/>
          <w:color w:val="000000"/>
          <w:sz w:val="24"/>
          <w:szCs w:val="24"/>
          <w:lang w:val="en-GB"/>
        </w:rPr>
        <w:t>Điều 2.</w:t>
      </w:r>
      <w:proofErr w:type="gramEnd"/>
      <w:r w:rsidRPr="006F4F47">
        <w:rPr>
          <w:rFonts w:ascii="Arial" w:eastAsia="Times New Roman" w:hAnsi="Arial" w:cs="Arial"/>
          <w:b/>
          <w:bCs/>
          <w:color w:val="000000"/>
          <w:sz w:val="24"/>
          <w:szCs w:val="24"/>
          <w:lang w:val="en-GB"/>
        </w:rPr>
        <w:t> Hiệu lực thi hành</w:t>
      </w:r>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color w:val="000000"/>
          <w:sz w:val="24"/>
          <w:szCs w:val="24"/>
          <w:lang w:val="en-GB"/>
        </w:rPr>
        <w:t>Nghị định này có hiệu lực thi hành kể từ ngày 25 tháng 02 năm 2013.</w:t>
      </w:r>
      <w:proofErr w:type="gramEnd"/>
    </w:p>
    <w:p w:rsidR="006F4F47" w:rsidRPr="006F4F47" w:rsidRDefault="006F4F47" w:rsidP="006F4F47">
      <w:pPr>
        <w:spacing w:before="90" w:after="90" w:line="240" w:lineRule="auto"/>
        <w:jc w:val="both"/>
        <w:rPr>
          <w:rFonts w:ascii="Arial" w:eastAsia="Times New Roman" w:hAnsi="Arial" w:cs="Arial"/>
          <w:color w:val="000000"/>
          <w:sz w:val="24"/>
          <w:szCs w:val="24"/>
        </w:rPr>
      </w:pPr>
      <w:proofErr w:type="gramStart"/>
      <w:r w:rsidRPr="006F4F47">
        <w:rPr>
          <w:rFonts w:ascii="Arial" w:eastAsia="Times New Roman" w:hAnsi="Arial" w:cs="Arial"/>
          <w:b/>
          <w:bCs/>
          <w:color w:val="000000"/>
          <w:sz w:val="24"/>
          <w:szCs w:val="24"/>
          <w:lang w:val="en-GB"/>
        </w:rPr>
        <w:t>Điều 3.</w:t>
      </w:r>
      <w:proofErr w:type="gramEnd"/>
      <w:r w:rsidRPr="006F4F47">
        <w:rPr>
          <w:rFonts w:ascii="Arial" w:eastAsia="Times New Roman" w:hAnsi="Arial" w:cs="Arial"/>
          <w:b/>
          <w:bCs/>
          <w:color w:val="000000"/>
          <w:sz w:val="24"/>
          <w:szCs w:val="24"/>
          <w:lang w:val="en-GB"/>
        </w:rPr>
        <w:t xml:space="preserve"> Tổ chức thực hiện</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1. Bộ trưởng Bộ Kế hoạch và Đầu tư chịu trách nhiệm hướng dẫn và tổ chức triển khai thực hiện Nghị định này.</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6F4F47" w:rsidRPr="006F4F47" w:rsidRDefault="006F4F47" w:rsidP="006F4F47">
      <w:pPr>
        <w:spacing w:before="90" w:after="90" w:line="240" w:lineRule="auto"/>
        <w:jc w:val="both"/>
        <w:rPr>
          <w:rFonts w:ascii="Arial" w:eastAsia="Times New Roman" w:hAnsi="Arial" w:cs="Arial"/>
          <w:color w:val="000000"/>
          <w:sz w:val="24"/>
          <w:szCs w:val="24"/>
        </w:rPr>
      </w:pPr>
      <w:r w:rsidRPr="006F4F47">
        <w:rPr>
          <w:rFonts w:ascii="Arial" w:eastAsia="Times New Roman" w:hAnsi="Arial" w:cs="Arial"/>
          <w:color w:val="000000"/>
          <w:sz w:val="24"/>
          <w:szCs w:val="24"/>
          <w:lang w:val="en-GB"/>
        </w:rPr>
        <w:t> </w:t>
      </w:r>
    </w:p>
    <w:tbl>
      <w:tblPr>
        <w:tblW w:w="5000" w:type="pct"/>
        <w:jc w:val="center"/>
        <w:tblCellMar>
          <w:left w:w="0" w:type="dxa"/>
          <w:right w:w="0" w:type="dxa"/>
        </w:tblCellMar>
        <w:tblLook w:val="04A0" w:firstRow="1" w:lastRow="0" w:firstColumn="1" w:lastColumn="0" w:noHBand="0" w:noVBand="1"/>
      </w:tblPr>
      <w:tblGrid>
        <w:gridCol w:w="9576"/>
      </w:tblGrid>
      <w:tr w:rsidR="006F4F47" w:rsidRPr="006F4F47" w:rsidTr="006F4F47">
        <w:trPr>
          <w:jc w:val="center"/>
        </w:trPr>
        <w:tc>
          <w:tcPr>
            <w:tcW w:w="6984" w:type="dxa"/>
            <w:tcBorders>
              <w:top w:val="nil"/>
              <w:left w:val="nil"/>
              <w:bottom w:val="nil"/>
              <w:right w:val="nil"/>
            </w:tcBorders>
            <w:tcMar>
              <w:top w:w="0" w:type="dxa"/>
              <w:left w:w="108" w:type="dxa"/>
              <w:bottom w:w="0" w:type="dxa"/>
              <w:right w:w="108" w:type="dxa"/>
            </w:tcMar>
            <w:hideMark/>
          </w:tcPr>
          <w:p w:rsidR="006F4F47" w:rsidRPr="006F4F47" w:rsidRDefault="006F4F47" w:rsidP="006F4F47">
            <w:pPr>
              <w:spacing w:before="30" w:after="30" w:line="240" w:lineRule="auto"/>
              <w:rPr>
                <w:rFonts w:ascii="Arial" w:eastAsia="Times New Roman" w:hAnsi="Arial" w:cs="Arial"/>
                <w:sz w:val="24"/>
                <w:szCs w:val="24"/>
              </w:rPr>
            </w:pPr>
            <w:r w:rsidRPr="006F4F47">
              <w:rPr>
                <w:rFonts w:ascii="Arial" w:eastAsia="Times New Roman" w:hAnsi="Arial" w:cs="Arial"/>
                <w:b/>
                <w:bCs/>
                <w:i/>
                <w:iCs/>
                <w:sz w:val="24"/>
                <w:szCs w:val="24"/>
              </w:rPr>
              <w:t> </w:t>
            </w:r>
          </w:p>
          <w:p w:rsidR="006F4F47" w:rsidRPr="006F4F47" w:rsidRDefault="006F4F47" w:rsidP="006F4F47">
            <w:pPr>
              <w:spacing w:before="30" w:after="30" w:line="240" w:lineRule="auto"/>
              <w:rPr>
                <w:rFonts w:ascii="Arial" w:eastAsia="Times New Roman" w:hAnsi="Arial" w:cs="Arial"/>
                <w:sz w:val="24"/>
                <w:szCs w:val="24"/>
              </w:rPr>
            </w:pPr>
            <w:r w:rsidRPr="006F4F47">
              <w:rPr>
                <w:rFonts w:ascii="Arial" w:eastAsia="Times New Roman" w:hAnsi="Arial" w:cs="Arial"/>
                <w:sz w:val="24"/>
                <w:szCs w:val="24"/>
                <w:lang w:val="en-GB"/>
              </w:rPr>
              <w:t> </w:t>
            </w:r>
            <w:r w:rsidRPr="006F4F47">
              <w:rPr>
                <w:rFonts w:ascii="Arial" w:eastAsia="Times New Roman" w:hAnsi="Arial" w:cs="Arial"/>
                <w:b/>
                <w:bCs/>
                <w:i/>
                <w:iCs/>
                <w:sz w:val="24"/>
                <w:szCs w:val="24"/>
                <w:lang w:val="en-GB"/>
              </w:rPr>
              <w:t>Nơi nhận:</w:t>
            </w:r>
          </w:p>
          <w:p w:rsidR="006F4F47" w:rsidRPr="006F4F47" w:rsidRDefault="006F4F47" w:rsidP="006F4F47">
            <w:pPr>
              <w:spacing w:before="30" w:after="30" w:line="240" w:lineRule="auto"/>
              <w:rPr>
                <w:rFonts w:ascii="Arial" w:eastAsia="Times New Roman" w:hAnsi="Arial" w:cs="Arial"/>
                <w:sz w:val="24"/>
                <w:szCs w:val="24"/>
              </w:rPr>
            </w:pPr>
            <w:r w:rsidRPr="006F4F47">
              <w:rPr>
                <w:rFonts w:ascii="Arial" w:eastAsia="Times New Roman" w:hAnsi="Arial" w:cs="Arial"/>
                <w:sz w:val="24"/>
                <w:szCs w:val="24"/>
                <w:lang w:val="en-GB"/>
              </w:rPr>
              <w:t>- Ban Bí thư Trung ương Đảng;</w:t>
            </w:r>
            <w:r w:rsidRPr="006F4F47">
              <w:rPr>
                <w:rFonts w:ascii="Arial" w:eastAsia="Times New Roman" w:hAnsi="Arial" w:cs="Arial"/>
                <w:sz w:val="24"/>
                <w:szCs w:val="24"/>
                <w:lang w:val="en-GB"/>
              </w:rPr>
              <w:br/>
              <w:t>- Thủ tướng, các Phó Thủ tướng Chính phủ;</w:t>
            </w:r>
            <w:r w:rsidRPr="006F4F47">
              <w:rPr>
                <w:rFonts w:ascii="Arial" w:eastAsia="Times New Roman" w:hAnsi="Arial" w:cs="Arial"/>
                <w:sz w:val="24"/>
                <w:szCs w:val="24"/>
                <w:lang w:val="en-GB"/>
              </w:rPr>
              <w:br/>
              <w:t>- Các Bộ, cơ quan ngang Bộ, cơ quan thuộc CP;</w:t>
            </w:r>
            <w:r w:rsidRPr="006F4F47">
              <w:rPr>
                <w:rFonts w:ascii="Arial" w:eastAsia="Times New Roman" w:hAnsi="Arial" w:cs="Arial"/>
                <w:sz w:val="24"/>
                <w:szCs w:val="24"/>
                <w:lang w:val="en-GB"/>
              </w:rPr>
              <w:br/>
              <w:t>- VP BCĐ TW về phòng, chống tham nhũng;</w:t>
            </w:r>
            <w:r w:rsidRPr="006F4F47">
              <w:rPr>
                <w:rFonts w:ascii="Arial" w:eastAsia="Times New Roman" w:hAnsi="Arial" w:cs="Arial"/>
                <w:sz w:val="24"/>
                <w:szCs w:val="24"/>
                <w:lang w:val="en-GB"/>
              </w:rPr>
              <w:br/>
              <w:t>- HĐND, UBND các tỉnh, TP trực thuộc TW;</w:t>
            </w:r>
            <w:r w:rsidRPr="006F4F47">
              <w:rPr>
                <w:rFonts w:ascii="Arial" w:eastAsia="Times New Roman" w:hAnsi="Arial" w:cs="Arial"/>
                <w:sz w:val="24"/>
                <w:szCs w:val="24"/>
                <w:lang w:val="en-GB"/>
              </w:rPr>
              <w:br/>
              <w:t>- Văn phòng Trung ương và các Ban của Đảng;</w:t>
            </w:r>
          </w:p>
          <w:p w:rsidR="006F4F47" w:rsidRPr="006F4F47" w:rsidRDefault="006F4F47" w:rsidP="006F4F47">
            <w:pPr>
              <w:spacing w:before="30" w:after="30" w:line="240" w:lineRule="auto"/>
              <w:rPr>
                <w:rFonts w:ascii="Arial" w:eastAsia="Times New Roman" w:hAnsi="Arial" w:cs="Arial"/>
                <w:sz w:val="24"/>
                <w:szCs w:val="24"/>
              </w:rPr>
            </w:pPr>
            <w:r w:rsidRPr="006F4F47">
              <w:rPr>
                <w:rFonts w:ascii="Arial" w:eastAsia="Times New Roman" w:hAnsi="Arial" w:cs="Arial"/>
                <w:sz w:val="24"/>
                <w:szCs w:val="24"/>
                <w:lang w:val="en-GB"/>
              </w:rPr>
              <w:t>- Văn phòng Tổng Bí thư;</w:t>
            </w:r>
            <w:r w:rsidRPr="006F4F47">
              <w:rPr>
                <w:rFonts w:ascii="Arial" w:eastAsia="Times New Roman" w:hAnsi="Arial" w:cs="Arial"/>
                <w:sz w:val="24"/>
                <w:szCs w:val="24"/>
                <w:lang w:val="en-GB"/>
              </w:rPr>
              <w:br/>
              <w:t>- Văn phòng Chủ tịch nước;</w:t>
            </w:r>
            <w:r w:rsidRPr="006F4F47">
              <w:rPr>
                <w:rFonts w:ascii="Arial" w:eastAsia="Times New Roman" w:hAnsi="Arial" w:cs="Arial"/>
                <w:sz w:val="24"/>
                <w:szCs w:val="24"/>
                <w:lang w:val="en-GB"/>
              </w:rPr>
              <w:br/>
              <w:t>- Hội đồng Dân tộc và các Ủy ban của Quốc hội;</w:t>
            </w:r>
            <w:r w:rsidRPr="006F4F47">
              <w:rPr>
                <w:rFonts w:ascii="Arial" w:eastAsia="Times New Roman" w:hAnsi="Arial" w:cs="Arial"/>
                <w:sz w:val="24"/>
                <w:szCs w:val="24"/>
                <w:lang w:val="en-GB"/>
              </w:rPr>
              <w:br/>
              <w:t>- Văn phòng Quốc hội;</w:t>
            </w:r>
            <w:r w:rsidRPr="006F4F47">
              <w:rPr>
                <w:rFonts w:ascii="Arial" w:eastAsia="Times New Roman" w:hAnsi="Arial" w:cs="Arial"/>
                <w:sz w:val="24"/>
                <w:szCs w:val="24"/>
                <w:lang w:val="en-GB"/>
              </w:rPr>
              <w:br/>
              <w:t>- Tòa án nhân dân tối cao;</w:t>
            </w:r>
            <w:r w:rsidRPr="006F4F47">
              <w:rPr>
                <w:rFonts w:ascii="Arial" w:eastAsia="Times New Roman" w:hAnsi="Arial" w:cs="Arial"/>
                <w:sz w:val="24"/>
                <w:szCs w:val="24"/>
                <w:lang w:val="en-GB"/>
              </w:rPr>
              <w:br/>
              <w:t>- Viện kiểm sát nhân dân tối cao;</w:t>
            </w:r>
            <w:r w:rsidRPr="006F4F47">
              <w:rPr>
                <w:rFonts w:ascii="Arial" w:eastAsia="Times New Roman" w:hAnsi="Arial" w:cs="Arial"/>
                <w:sz w:val="24"/>
                <w:szCs w:val="24"/>
                <w:lang w:val="en-GB"/>
              </w:rPr>
              <w:br/>
              <w:t>- Kiểm toán Nhà nước;</w:t>
            </w:r>
            <w:r w:rsidRPr="006F4F47">
              <w:rPr>
                <w:rFonts w:ascii="Arial" w:eastAsia="Times New Roman" w:hAnsi="Arial" w:cs="Arial"/>
                <w:sz w:val="24"/>
                <w:szCs w:val="24"/>
                <w:lang w:val="en-GB"/>
              </w:rPr>
              <w:br/>
              <w:t>- Ủy ban Giám sát tài chính quốc gia;</w:t>
            </w:r>
            <w:r w:rsidRPr="006F4F47">
              <w:rPr>
                <w:rFonts w:ascii="Arial" w:eastAsia="Times New Roman" w:hAnsi="Arial" w:cs="Arial"/>
                <w:sz w:val="24"/>
                <w:szCs w:val="24"/>
                <w:lang w:val="en-GB"/>
              </w:rPr>
              <w:br/>
              <w:t>- Ngân hàng Chính sách xã hội;</w:t>
            </w:r>
            <w:r w:rsidRPr="006F4F47">
              <w:rPr>
                <w:rFonts w:ascii="Arial" w:eastAsia="Times New Roman" w:hAnsi="Arial" w:cs="Arial"/>
                <w:sz w:val="24"/>
                <w:szCs w:val="24"/>
                <w:lang w:val="en-GB"/>
              </w:rPr>
              <w:br/>
              <w:t>- Ngân hàng Phát triển Việt Nam;</w:t>
            </w:r>
            <w:r w:rsidRPr="006F4F47">
              <w:rPr>
                <w:rFonts w:ascii="Arial" w:eastAsia="Times New Roman" w:hAnsi="Arial" w:cs="Arial"/>
                <w:sz w:val="24"/>
                <w:szCs w:val="24"/>
                <w:lang w:val="en-GB"/>
              </w:rPr>
              <w:br/>
              <w:t>- UBTW Mặt trận Tổ quốc Việt Nam;</w:t>
            </w:r>
            <w:r w:rsidRPr="006F4F47">
              <w:rPr>
                <w:rFonts w:ascii="Arial" w:eastAsia="Times New Roman" w:hAnsi="Arial" w:cs="Arial"/>
                <w:sz w:val="24"/>
                <w:szCs w:val="24"/>
                <w:lang w:val="en-GB"/>
              </w:rPr>
              <w:br/>
            </w:r>
            <w:r w:rsidRPr="006F4F47">
              <w:rPr>
                <w:rFonts w:ascii="Arial" w:eastAsia="Times New Roman" w:hAnsi="Arial" w:cs="Arial"/>
                <w:sz w:val="24"/>
                <w:szCs w:val="24"/>
                <w:lang w:val="en-GB"/>
              </w:rPr>
              <w:lastRenderedPageBreak/>
              <w:t>- Cơ quan Trung ương của các đoàn thể;</w:t>
            </w:r>
            <w:r w:rsidRPr="006F4F47">
              <w:rPr>
                <w:rFonts w:ascii="Arial" w:eastAsia="Times New Roman" w:hAnsi="Arial" w:cs="Arial"/>
                <w:sz w:val="24"/>
                <w:szCs w:val="24"/>
                <w:lang w:val="en-GB"/>
              </w:rPr>
              <w:br/>
              <w:t>- VPCP: BTCN, các PCN, Trợ lý TTCP, Cổng TTĐT,</w:t>
            </w:r>
          </w:p>
          <w:p w:rsidR="006F4F47" w:rsidRPr="006F4F47" w:rsidRDefault="006F4F47" w:rsidP="006F4F47">
            <w:pPr>
              <w:spacing w:before="30" w:after="30" w:line="240" w:lineRule="auto"/>
              <w:rPr>
                <w:rFonts w:ascii="Arial" w:eastAsia="Times New Roman" w:hAnsi="Arial" w:cs="Arial"/>
                <w:sz w:val="24"/>
                <w:szCs w:val="24"/>
              </w:rPr>
            </w:pPr>
            <w:r w:rsidRPr="006F4F47">
              <w:rPr>
                <w:rFonts w:ascii="Arial" w:eastAsia="Times New Roman" w:hAnsi="Arial" w:cs="Arial"/>
                <w:sz w:val="24"/>
                <w:szCs w:val="24"/>
                <w:lang w:val="en-GB"/>
              </w:rPr>
              <w:t xml:space="preserve">  </w:t>
            </w:r>
            <w:proofErr w:type="gramStart"/>
            <w:r w:rsidRPr="006F4F47">
              <w:rPr>
                <w:rFonts w:ascii="Arial" w:eastAsia="Times New Roman" w:hAnsi="Arial" w:cs="Arial"/>
                <w:sz w:val="24"/>
                <w:szCs w:val="24"/>
                <w:lang w:val="en-GB"/>
              </w:rPr>
              <w:t>các</w:t>
            </w:r>
            <w:proofErr w:type="gramEnd"/>
            <w:r w:rsidRPr="006F4F47">
              <w:rPr>
                <w:rFonts w:ascii="Arial" w:eastAsia="Times New Roman" w:hAnsi="Arial" w:cs="Arial"/>
                <w:sz w:val="24"/>
                <w:szCs w:val="24"/>
                <w:lang w:val="en-GB"/>
              </w:rPr>
              <w:t xml:space="preserve"> Vụ, Cục, đơn vị trực thuộc, Công báo;</w:t>
            </w:r>
            <w:r w:rsidRPr="006F4F47">
              <w:rPr>
                <w:rFonts w:ascii="Arial" w:eastAsia="Times New Roman" w:hAnsi="Arial" w:cs="Arial"/>
                <w:sz w:val="24"/>
                <w:szCs w:val="24"/>
                <w:lang w:val="en-GB"/>
              </w:rPr>
              <w:br/>
              <w:t>- Lưu: Văn thư, ĐMDN (3b). 300</w:t>
            </w:r>
          </w:p>
        </w:tc>
      </w:tr>
    </w:tbl>
    <w:p w:rsidR="006E4D18" w:rsidRPr="006F4F47" w:rsidRDefault="006E4D18">
      <w:pPr>
        <w:rPr>
          <w:sz w:val="24"/>
          <w:szCs w:val="24"/>
        </w:rPr>
      </w:pPr>
    </w:p>
    <w:sectPr w:rsidR="006E4D18" w:rsidRPr="006F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7E"/>
    <w:rsid w:val="00344E7E"/>
    <w:rsid w:val="006E4D18"/>
    <w:rsid w:val="006F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4F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9">
    <w:name w:val="heading 9"/>
    <w:basedOn w:val="Normal"/>
    <w:link w:val="Heading9Char"/>
    <w:uiPriority w:val="9"/>
    <w:qFormat/>
    <w:rsid w:val="006F4F4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47"/>
    <w:rPr>
      <w:rFonts w:ascii="Times New Roman" w:eastAsia="Times New Roman" w:hAnsi="Times New Roman" w:cs="Times New Roman"/>
      <w:b/>
      <w:bCs/>
      <w:kern w:val="36"/>
      <w:sz w:val="48"/>
      <w:szCs w:val="48"/>
    </w:rPr>
  </w:style>
  <w:style w:type="character" w:customStyle="1" w:styleId="Heading9Char">
    <w:name w:val="Heading 9 Char"/>
    <w:basedOn w:val="DefaultParagraphFont"/>
    <w:link w:val="Heading9"/>
    <w:uiPriority w:val="9"/>
    <w:rsid w:val="006F4F47"/>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4F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9">
    <w:name w:val="heading 9"/>
    <w:basedOn w:val="Normal"/>
    <w:link w:val="Heading9Char"/>
    <w:uiPriority w:val="9"/>
    <w:qFormat/>
    <w:rsid w:val="006F4F4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47"/>
    <w:rPr>
      <w:rFonts w:ascii="Times New Roman" w:eastAsia="Times New Roman" w:hAnsi="Times New Roman" w:cs="Times New Roman"/>
      <w:b/>
      <w:bCs/>
      <w:kern w:val="36"/>
      <w:sz w:val="48"/>
      <w:szCs w:val="48"/>
    </w:rPr>
  </w:style>
  <w:style w:type="character" w:customStyle="1" w:styleId="Heading9Char">
    <w:name w:val="Heading 9 Char"/>
    <w:basedOn w:val="DefaultParagraphFont"/>
    <w:link w:val="Heading9"/>
    <w:uiPriority w:val="9"/>
    <w:rsid w:val="006F4F47"/>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2014-12-18T08:50:00Z</dcterms:created>
  <dcterms:modified xsi:type="dcterms:W3CDTF">2014-12-18T08:51:00Z</dcterms:modified>
</cp:coreProperties>
</file>